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BF" w:rsidRPr="00285BBF" w:rsidRDefault="00285BBF" w:rsidP="00285BBF">
      <w:pPr>
        <w:widowControl/>
        <w:shd w:val="clear" w:color="auto" w:fill="FFFFFF"/>
        <w:spacing w:line="750" w:lineRule="atLeast"/>
        <w:jc w:val="center"/>
        <w:outlineLvl w:val="0"/>
        <w:rPr>
          <w:rFonts w:ascii="宋体" w:eastAsia="宋体" w:hAnsi="宋体" w:cs="宋体"/>
          <w:b/>
          <w:bCs/>
          <w:color w:val="000000"/>
          <w:kern w:val="36"/>
          <w:sz w:val="30"/>
          <w:szCs w:val="30"/>
        </w:rPr>
      </w:pPr>
      <w:r w:rsidRPr="00285BBF">
        <w:rPr>
          <w:rFonts w:ascii="宋体" w:eastAsia="宋体" w:hAnsi="宋体" w:cs="宋体" w:hint="eastAsia"/>
          <w:b/>
          <w:bCs/>
          <w:color w:val="000000"/>
          <w:kern w:val="36"/>
          <w:sz w:val="30"/>
          <w:szCs w:val="30"/>
        </w:rPr>
        <w:t>非可控性炎症恶性转化的调控网络及其分子机制重大研究计划2016年度项目指南</w:t>
      </w:r>
    </w:p>
    <w:p w:rsidR="00285BBF" w:rsidRPr="00285BBF" w:rsidRDefault="00285BBF" w:rsidP="00285BBF">
      <w:pPr>
        <w:widowControl/>
        <w:shd w:val="clear" w:color="auto" w:fill="FFFFFF"/>
        <w:spacing w:line="360" w:lineRule="atLeast"/>
        <w:rPr>
          <w:rFonts w:ascii="宋体" w:eastAsia="宋体" w:hAnsi="宋体" w:cs="宋体" w:hint="eastAsia"/>
          <w:kern w:val="0"/>
          <w:sz w:val="24"/>
          <w:szCs w:val="24"/>
        </w:rPr>
      </w:pPr>
      <w:bookmarkStart w:id="0" w:name="_GoBack"/>
      <w:bookmarkEnd w:id="0"/>
    </w:p>
    <w:p w:rsidR="00285BBF" w:rsidRPr="00285BBF" w:rsidRDefault="00285BBF" w:rsidP="00285BBF">
      <w:pPr>
        <w:widowControl/>
        <w:shd w:val="clear" w:color="auto" w:fill="FFFFFF"/>
        <w:spacing w:before="150" w:after="150" w:line="270" w:lineRule="atLeast"/>
        <w:rPr>
          <w:rFonts w:ascii="宋体" w:eastAsia="宋体" w:hAnsi="宋体" w:cs="宋体" w:hint="eastAsia"/>
          <w:kern w:val="0"/>
          <w:sz w:val="24"/>
          <w:szCs w:val="24"/>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以非可控性炎症的恶性转化过程为研究对象，发挥医学科学、生命科学和信息科学等多学科交叉的优势，引入系统生物学整体性、信息化的研究策略和转化医学研究理念，着重研究“非可控性炎症恶性转化”的网络调控及其分子机制，揭示炎症向肿瘤转化的本质，催生新的可用于临床的疾病早期诊断、预测、干预策略和防治模式。</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研究计划从2010年开始资助，2013年开始进入项目的集成和整合阶段。</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r w:rsidRPr="00285BBF">
        <w:rPr>
          <w:rFonts w:ascii="宋体" w:eastAsia="宋体" w:hAnsi="宋体" w:cs="宋体" w:hint="eastAsia"/>
          <w:b/>
          <w:bCs/>
          <w:color w:val="000000"/>
          <w:kern w:val="0"/>
          <w:sz w:val="18"/>
          <w:szCs w:val="18"/>
        </w:rPr>
        <w:t>一、科学目标</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面向我国人口健康重大需求，瞄准当今国际医药领域发展最新动态，遵循“方向明确，重点突破，基础扎实，学科融合”的原则，充分发挥医学科学、生命科学和信息科学等学科的特点以及学科交叉的优势，引入系统生物学倡导的整合性、信息化的研究策略，发展贴近临床病理特征与疾病进程的新技术、新方法；针对炎症可控性与非可控性调控网络转化这一动态事件，重点关注宿主、微环境与恶性转化之间的互动影响，揭示非可控性炎症恶性转化的分子机制与调控规律，为非可控性炎症向肿瘤转化过程中的关键节点作为肿瘤的预测、诊断、治疗及药物靶标奠定基础，催生全新的、临床实用的肿瘤等复杂疾病防治模式与干预策略，为转化医学研究奠定基础，同时，努力推动学科交叉和集成研究，建成各具特色、优势互补的高水平研究平台，形成</w:t>
      </w:r>
      <w:proofErr w:type="gramStart"/>
      <w:r w:rsidRPr="00285BBF">
        <w:rPr>
          <w:rFonts w:ascii="宋体" w:eastAsia="宋体" w:hAnsi="宋体" w:cs="宋体" w:hint="eastAsia"/>
          <w:color w:val="000000"/>
          <w:kern w:val="0"/>
          <w:sz w:val="18"/>
          <w:szCs w:val="18"/>
        </w:rPr>
        <w:t>一</w:t>
      </w:r>
      <w:proofErr w:type="gramEnd"/>
      <w:r w:rsidRPr="00285BBF">
        <w:rPr>
          <w:rFonts w:ascii="宋体" w:eastAsia="宋体" w:hAnsi="宋体" w:cs="宋体" w:hint="eastAsia"/>
          <w:color w:val="000000"/>
          <w:kern w:val="0"/>
          <w:sz w:val="18"/>
          <w:szCs w:val="18"/>
        </w:rPr>
        <w:t>支具有国际竞争力的人才队伍，造福人类健康事业。</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r w:rsidRPr="00285BBF">
        <w:rPr>
          <w:rFonts w:ascii="宋体" w:eastAsia="宋体" w:hAnsi="宋体" w:cs="宋体" w:hint="eastAsia"/>
          <w:b/>
          <w:bCs/>
          <w:color w:val="000000"/>
          <w:kern w:val="0"/>
          <w:sz w:val="18"/>
          <w:szCs w:val="18"/>
        </w:rPr>
        <w:t>二、核心科学问题</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研究计划的核心科学问题：</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（一）非可控性炎症恶性转化的分子机制；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（二）非可控性炎症调控网络关键节点的发现及其功能诠释；</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（三）非可控性炎症恶性转化的动态网络调控规律。</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r w:rsidRPr="00285BBF">
        <w:rPr>
          <w:rFonts w:ascii="宋体" w:eastAsia="宋体" w:hAnsi="宋体" w:cs="宋体" w:hint="eastAsia"/>
          <w:b/>
          <w:bCs/>
          <w:color w:val="000000"/>
          <w:kern w:val="0"/>
          <w:sz w:val="18"/>
          <w:szCs w:val="18"/>
        </w:rPr>
        <w:t>三、2016年度拟资助研究方向</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为整合</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研究计划前期研究的成果, 2016年度将继续开展原有项目负责人之间的集成研究，申请书应突出在前期研究中已取得的突破性进展、且明确体现学科交叉和调控网络分子机制的特色。</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2016年度不资助与整合计划联系不紧密的项目申请，包括：单个分子（蛋白、基因）的机制研究，单纯的流行病学研究，无明确的从炎症向肿瘤恶性转化疾病过程的肿瘤研究，单纯的药物干预与药理学研究，以及其研究内容已有相关其他科技项目支持的项目等。</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r w:rsidRPr="00285BBF">
        <w:rPr>
          <w:rFonts w:ascii="宋体" w:eastAsia="宋体" w:hAnsi="宋体" w:cs="宋体" w:hint="eastAsia"/>
          <w:b/>
          <w:bCs/>
          <w:color w:val="000000"/>
          <w:kern w:val="0"/>
          <w:sz w:val="18"/>
          <w:szCs w:val="18"/>
        </w:rPr>
        <w:t>四、2016年度资助计划</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根据</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总体布局的需求，在原有资助项目的基础上，2016年度计划资助直接费用1000万元。拟资助“集成项目”5-6项，直接费用的平均资助强度不超过200万元/项；个别有特色的研究工作可作为“培育项目”支持，直接费用的平均资助强度不超过100万元/项。“集成项目”和“培育项目”的资助期限均为2年，申请书中研究期限应填写“2017年1月1日-2018年12月31日”。</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r w:rsidRPr="00285BBF">
        <w:rPr>
          <w:rFonts w:ascii="宋体" w:eastAsia="宋体" w:hAnsi="宋体" w:cs="宋体" w:hint="eastAsia"/>
          <w:b/>
          <w:bCs/>
          <w:color w:val="000000"/>
          <w:kern w:val="0"/>
          <w:sz w:val="18"/>
          <w:szCs w:val="18"/>
        </w:rPr>
        <w:t>五、申报要求及注意事项</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lastRenderedPageBreak/>
        <w:t xml:space="preserve">　　（一）申请条件。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研究计划项目申请人应当具备以下条件：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1.具有承担基础研究课题的经历；</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2.具有高级专业技术职务（职称）；</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3.</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研究计划集成项目申请人应当是承担过</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研究计划培育项目或重点支持项目的项目负责人，并且项目取得了突出进展。</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在站博士后研究人员以及正在攻读研究生学位的人员不得申请。</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正在承担</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研究计划集成项目的项目负责人和参与人原则上不得再次申请和参与申请本次集成项目。</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（二）限项规定。</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285BBF">
        <w:rPr>
          <w:rFonts w:ascii="宋体" w:eastAsia="宋体" w:hAnsi="宋体" w:cs="宋体" w:hint="eastAsia"/>
          <w:color w:val="000000"/>
          <w:kern w:val="0"/>
          <w:sz w:val="18"/>
          <w:szCs w:val="18"/>
        </w:rPr>
        <w:t>含承担</w:t>
      </w:r>
      <w:proofErr w:type="gramEnd"/>
      <w:r w:rsidRPr="00285BBF">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（三）申请注意事项。</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1.申请书报送日期为2016年8月22日至26日16时。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研究计划项目申请书采用在线方式撰写。对申请人具体要求如下：</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（1）申请人在填报申请书前，应当认真阅读本项目指南和《2016年度国家自然科学基金项目指南》中申请须知和限</w:t>
      </w:r>
      <w:proofErr w:type="gramStart"/>
      <w:r w:rsidRPr="00285BBF">
        <w:rPr>
          <w:rFonts w:ascii="宋体" w:eastAsia="宋体" w:hAnsi="宋体" w:cs="宋体" w:hint="eastAsia"/>
          <w:color w:val="000000"/>
          <w:kern w:val="0"/>
          <w:sz w:val="18"/>
          <w:szCs w:val="18"/>
        </w:rPr>
        <w:t>项申请</w:t>
      </w:r>
      <w:proofErr w:type="gramEnd"/>
      <w:r w:rsidRPr="00285BBF">
        <w:rPr>
          <w:rFonts w:ascii="宋体" w:eastAsia="宋体" w:hAnsi="宋体" w:cs="宋体" w:hint="eastAsia"/>
          <w:color w:val="000000"/>
          <w:kern w:val="0"/>
          <w:sz w:val="18"/>
          <w:szCs w:val="18"/>
        </w:rPr>
        <w:t>规定的相关内容，不符合项目指南和相关要求的申请项目不予受理。</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研究计划旨在紧密围绕核心科学问题，将对多学科相关研究进行战略性的方向引导和优势整合，成为一个项目集群。申请人应根据</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研究计划拟解决的具体科学问题和项目指南公布的拟资助研究方向，自行拟定项目名称、科学目标、研究内容、技术路线和相应的研究经费等。</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（3）申请人登录科学基金网络信息系统https://isisn.nsfc.gov.cn/（以下简称信息系统，没有系统账号的申请人请向依托单位基金管理联系人申请开户），按照撰写提纲要求撰写申请书。</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4）申请书中的资助类别选择“重大研究计划”，亚类说明选择“集成项目”或“培育项目”，附注说明选择“非可控性炎症恶性转化的调控网络及其分子机制”，根据申请的具体研究内容选择相应的申请代码。以上选择不准确或未选择的项目申请将不予受理。</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培育项目的合作研究单位不得超过2个。</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集成项目的依托单位与合作研究单位数量合计一般不超过3个。</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lastRenderedPageBreak/>
        <w:t xml:space="preserve">　　（5）申请人应当按照重大研究计划申请书的撰写提纲撰写申请书，应突出有限目标和重点突破，明确对实现研究计划总体目标和解决核心科学问题的贡献。</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如果申请人已经承担与</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研究计划相关的其他科技计划项目，应当在报告正文的“研究基础”部分论述申请项目与其他相关项目的区别与联系。</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请申请人同时参阅医学科学部面上项目指南“申请人需注意的问题和相关事项”。</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（7）申请人完成申请书撰写后，在线提交电子申请书及附件材料，下载并打印最终PDF版本申请书，向依托单位提交签字后的纸质申请书原件。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（8）申请人应保证纸质申请书与电子版内容一致。</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（1）应在规定的项目申请截止日期（2016年8月26日16时）前提交本单位电子版申请书及附件材料，并统一报送经单位签字盖章后的纸质申请书原件（一式一份）及要求报送的纸质附件材料。</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（2）提交电子版申请书时，应通过信息系统逐项确认。</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w:t>
      </w:r>
      <w:proofErr w:type="gramStart"/>
      <w:r w:rsidRPr="00285BBF">
        <w:rPr>
          <w:rFonts w:ascii="宋体" w:eastAsia="宋体" w:hAnsi="宋体" w:cs="宋体" w:hint="eastAsia"/>
          <w:color w:val="000000"/>
          <w:kern w:val="0"/>
          <w:sz w:val="18"/>
          <w:szCs w:val="18"/>
        </w:rPr>
        <w:t>邮</w:t>
      </w:r>
      <w:proofErr w:type="gramEnd"/>
      <w:r w:rsidRPr="00285BBF">
        <w:rPr>
          <w:rFonts w:ascii="宋体" w:eastAsia="宋体" w:hAnsi="宋体" w:cs="宋体" w:hint="eastAsia"/>
          <w:color w:val="000000"/>
          <w:kern w:val="0"/>
          <w:sz w:val="18"/>
          <w:szCs w:val="18"/>
        </w:rPr>
        <w:t xml:space="preserve">　　编：100085</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联系电话：010-62328591</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（四）其他注意事项。</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285BBF" w:rsidRPr="00285BBF" w:rsidRDefault="00285BBF" w:rsidP="00285BBF">
      <w:pPr>
        <w:widowControl/>
        <w:shd w:val="clear" w:color="auto" w:fill="FFFFFF"/>
        <w:spacing w:before="150" w:after="150" w:line="270" w:lineRule="atLeast"/>
        <w:rPr>
          <w:rFonts w:ascii="宋体" w:eastAsia="宋体" w:hAnsi="宋体" w:cs="宋体" w:hint="eastAsia"/>
          <w:color w:val="000000"/>
          <w:kern w:val="0"/>
          <w:sz w:val="18"/>
          <w:szCs w:val="18"/>
        </w:rPr>
      </w:pPr>
      <w:r w:rsidRPr="00285BBF">
        <w:rPr>
          <w:rFonts w:ascii="宋体" w:eastAsia="宋体" w:hAnsi="宋体" w:cs="宋体" w:hint="eastAsia"/>
          <w:color w:val="000000"/>
          <w:kern w:val="0"/>
          <w:sz w:val="18"/>
          <w:szCs w:val="18"/>
        </w:rPr>
        <w:t xml:space="preserve">　　2.为加强项目的学术交流，促进项目群的形成和多学科交叉与集成，</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研究计划将每年举办一次资助项目的年度学术交流会，并将不定期地组织相关领域的学术研讨会。获资助项目负责人有义务参加</w:t>
      </w:r>
      <w:proofErr w:type="gramStart"/>
      <w:r w:rsidRPr="00285BBF">
        <w:rPr>
          <w:rFonts w:ascii="宋体" w:eastAsia="宋体" w:hAnsi="宋体" w:cs="宋体" w:hint="eastAsia"/>
          <w:color w:val="000000"/>
          <w:kern w:val="0"/>
          <w:sz w:val="18"/>
          <w:szCs w:val="18"/>
        </w:rPr>
        <w:t>本重大</w:t>
      </w:r>
      <w:proofErr w:type="gramEnd"/>
      <w:r w:rsidRPr="00285BBF">
        <w:rPr>
          <w:rFonts w:ascii="宋体" w:eastAsia="宋体" w:hAnsi="宋体" w:cs="宋体" w:hint="eastAsia"/>
          <w:color w:val="000000"/>
          <w:kern w:val="0"/>
          <w:sz w:val="18"/>
          <w:szCs w:val="18"/>
        </w:rPr>
        <w:t>研究计划指导专家组和管理工作组所组织的上述学术交流活动。</w:t>
      </w:r>
    </w:p>
    <w:p w:rsidR="005C6FEE" w:rsidRPr="00285BBF" w:rsidRDefault="005C6FEE"/>
    <w:sectPr w:rsidR="005C6FEE" w:rsidRPr="00285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BF"/>
    <w:rsid w:val="00285BBF"/>
    <w:rsid w:val="005C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5B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5BBF"/>
    <w:rPr>
      <w:rFonts w:ascii="宋体" w:eastAsia="宋体" w:hAnsi="宋体" w:cs="宋体"/>
      <w:b/>
      <w:bCs/>
      <w:kern w:val="36"/>
      <w:sz w:val="48"/>
      <w:szCs w:val="48"/>
    </w:rPr>
  </w:style>
  <w:style w:type="character" w:styleId="a3">
    <w:name w:val="Hyperlink"/>
    <w:basedOn w:val="a0"/>
    <w:uiPriority w:val="99"/>
    <w:semiHidden/>
    <w:unhideWhenUsed/>
    <w:rsid w:val="00285BBF"/>
    <w:rPr>
      <w:color w:val="0000FF"/>
      <w:u w:val="single"/>
    </w:rPr>
  </w:style>
  <w:style w:type="character" w:customStyle="1" w:styleId="apple-converted-space">
    <w:name w:val="apple-converted-space"/>
    <w:basedOn w:val="a0"/>
    <w:rsid w:val="00285BBF"/>
  </w:style>
  <w:style w:type="character" w:customStyle="1" w:styleId="normal105">
    <w:name w:val="normal105"/>
    <w:basedOn w:val="a0"/>
    <w:rsid w:val="00285BBF"/>
  </w:style>
  <w:style w:type="paragraph" w:styleId="a4">
    <w:name w:val="Normal (Web)"/>
    <w:basedOn w:val="a"/>
    <w:uiPriority w:val="99"/>
    <w:semiHidden/>
    <w:unhideWhenUsed/>
    <w:rsid w:val="00285B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85B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5B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5BBF"/>
    <w:rPr>
      <w:rFonts w:ascii="宋体" w:eastAsia="宋体" w:hAnsi="宋体" w:cs="宋体"/>
      <w:b/>
      <w:bCs/>
      <w:kern w:val="36"/>
      <w:sz w:val="48"/>
      <w:szCs w:val="48"/>
    </w:rPr>
  </w:style>
  <w:style w:type="character" w:styleId="a3">
    <w:name w:val="Hyperlink"/>
    <w:basedOn w:val="a0"/>
    <w:uiPriority w:val="99"/>
    <w:semiHidden/>
    <w:unhideWhenUsed/>
    <w:rsid w:val="00285BBF"/>
    <w:rPr>
      <w:color w:val="0000FF"/>
      <w:u w:val="single"/>
    </w:rPr>
  </w:style>
  <w:style w:type="character" w:customStyle="1" w:styleId="apple-converted-space">
    <w:name w:val="apple-converted-space"/>
    <w:basedOn w:val="a0"/>
    <w:rsid w:val="00285BBF"/>
  </w:style>
  <w:style w:type="character" w:customStyle="1" w:styleId="normal105">
    <w:name w:val="normal105"/>
    <w:basedOn w:val="a0"/>
    <w:rsid w:val="00285BBF"/>
  </w:style>
  <w:style w:type="paragraph" w:styleId="a4">
    <w:name w:val="Normal (Web)"/>
    <w:basedOn w:val="a"/>
    <w:uiPriority w:val="99"/>
    <w:semiHidden/>
    <w:unhideWhenUsed/>
    <w:rsid w:val="00285B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85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9785">
      <w:bodyDiv w:val="1"/>
      <w:marLeft w:val="0"/>
      <w:marRight w:val="0"/>
      <w:marTop w:val="0"/>
      <w:marBottom w:val="0"/>
      <w:divBdr>
        <w:top w:val="none" w:sz="0" w:space="0" w:color="auto"/>
        <w:left w:val="none" w:sz="0" w:space="0" w:color="auto"/>
        <w:bottom w:val="none" w:sz="0" w:space="0" w:color="auto"/>
        <w:right w:val="none" w:sz="0" w:space="0" w:color="auto"/>
      </w:divBdr>
      <w:divsChild>
        <w:div w:id="133923818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3040</Characters>
  <Application>Microsoft Office Word</Application>
  <DocSecurity>0</DocSecurity>
  <Lines>25</Lines>
  <Paragraphs>7</Paragraphs>
  <ScaleCrop>false</ScaleCrop>
  <Company>china</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2016-07-26T03:08:00Z</dcterms:created>
  <dcterms:modified xsi:type="dcterms:W3CDTF">2016-07-26T03:09:00Z</dcterms:modified>
</cp:coreProperties>
</file>